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5-64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6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Style w:val="cat-Dategrp-8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8rplc-2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Style w:val="cat-FIOgrp-16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русским языком владеющего,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ХМАО-Югра,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3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д. 36 по </w:t>
      </w:r>
      <w:r>
        <w:rPr>
          <w:rStyle w:val="cat-Addressgrp-7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цвета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испачкана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348682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</w:t>
      </w:r>
      <w:r>
        <w:rPr>
          <w:rStyle w:val="cat-Addressgrp-6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FIOgrp-19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6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с </w:t>
      </w:r>
      <w:r>
        <w:rPr>
          <w:rStyle w:val="cat-Timegrp-24rplc-3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13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FIOgrp-20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</w:t>
      </w:r>
      <w:r>
        <w:rPr>
          <w:rStyle w:val="cat-FIOgrp-20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67"/>
        <w:jc w:val="both"/>
      </w:pPr>
      <w:r>
        <w:rPr>
          <w:rStyle w:val="cat-Dategrp-14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5-64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5rplc-0">
    <w:name w:val="cat-PhoneNumber grp-25 rplc-0"/>
    <w:basedOn w:val="DefaultParagraphFont"/>
  </w:style>
  <w:style w:type="character" w:customStyle="1" w:styleId="cat-PhoneNumbergrp-26rplc-1">
    <w:name w:val="cat-PhoneNumber grp-26 rplc-1"/>
    <w:basedOn w:val="DefaultParagraphFont"/>
  </w:style>
  <w:style w:type="character" w:customStyle="1" w:styleId="cat-Dategrp-8rplc-2">
    <w:name w:val="cat-Date grp-8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ExternalSystemDefinedgrp-27rplc-15">
    <w:name w:val="cat-ExternalSystemDefined grp-27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Timegrp-23rplc-17">
    <w:name w:val="cat-Time grp-23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Timegrp-24rplc-33">
    <w:name w:val="cat-Time grp-24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Dategrp-14rplc-38">
    <w:name w:val="cat-Date grp-1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